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03EF" w14:textId="77777777" w:rsidR="006C6106" w:rsidRDefault="00F95CC9">
      <w:r>
        <w:rPr>
          <w:noProof/>
        </w:rPr>
        <w:drawing>
          <wp:inline distT="0" distB="0" distL="0" distR="0" wp14:anchorId="254603EF" wp14:editId="254603F0">
            <wp:extent cx="5760720" cy="2987043"/>
            <wp:effectExtent l="0" t="0" r="0" b="0"/>
            <wp:docPr id="1071839594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4603F0" w14:textId="77777777" w:rsidR="006C6106" w:rsidRDefault="00F95CC9">
      <w:r>
        <w:t>Grafik 1: Aufteilung des Netto-Aufwandes auf die verschiedenen Bereiche</w:t>
      </w:r>
    </w:p>
    <w:p w14:paraId="254603F1" w14:textId="77777777" w:rsidR="006C6106" w:rsidRDefault="006C6106"/>
    <w:p w14:paraId="254603F2" w14:textId="77777777" w:rsidR="006C6106" w:rsidRDefault="00F95CC9">
      <w:r>
        <w:rPr>
          <w:noProof/>
        </w:rPr>
        <w:drawing>
          <wp:inline distT="0" distB="0" distL="0" distR="0" wp14:anchorId="254603F1" wp14:editId="4C23984A">
            <wp:extent cx="5760720" cy="3625852"/>
            <wp:effectExtent l="0" t="0" r="0" b="0"/>
            <wp:docPr id="2131016833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4603F3" w14:textId="77777777" w:rsidR="006C6106" w:rsidRDefault="00F95CC9">
      <w:r>
        <w:t>Grafik 2 Kostenstruktur</w:t>
      </w:r>
    </w:p>
    <w:sectPr w:rsidR="006C6106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03F7" w14:textId="77777777" w:rsidR="00F95CC9" w:rsidRDefault="00F95CC9">
      <w:pPr>
        <w:spacing w:after="0" w:line="240" w:lineRule="auto"/>
      </w:pPr>
      <w:r>
        <w:separator/>
      </w:r>
    </w:p>
  </w:endnote>
  <w:endnote w:type="continuationSeparator" w:id="0">
    <w:p w14:paraId="254603F9" w14:textId="77777777" w:rsidR="00F95CC9" w:rsidRDefault="00F9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03F3" w14:textId="77777777" w:rsidR="00F95CC9" w:rsidRDefault="00F95C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4603F5" w14:textId="77777777" w:rsidR="00F95CC9" w:rsidRDefault="00F9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6106"/>
    <w:rsid w:val="00251925"/>
    <w:rsid w:val="00680FAE"/>
    <w:rsid w:val="006C6106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03EF"/>
  <w15:docId w15:val="{6C9A1382-9836-4690-A20D-64082D14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de-CH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de-DE" sz="1400" b="1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de-DE" sz="1400" b="1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Budget 2025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0.31789533252787844"/>
          <c:y val="0.18964526755584124"/>
          <c:w val="0.32452627449346605"/>
          <c:h val="0.62587210080882749"/>
        </c:manualLayout>
      </c:layout>
      <c:pieChart>
        <c:varyColors val="1"/>
        <c:ser>
          <c:idx val="0"/>
          <c:order val="0"/>
          <c:tx>
            <c:v>Budget 2025</c:v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A867-47D8-9DF6-B4BE0A88D42E}"/>
              </c:ext>
            </c:extLst>
          </c:dPt>
          <c:dPt>
            <c:idx val="1"/>
            <c:bubble3D val="0"/>
            <c:spPr>
              <a:solidFill>
                <a:srgbClr val="33CC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A867-47D8-9DF6-B4BE0A88D42E}"/>
              </c:ext>
            </c:extLst>
          </c:dPt>
          <c:dPt>
            <c:idx val="2"/>
            <c:bubble3D val="0"/>
            <c:spPr>
              <a:solidFill>
                <a:srgbClr val="33CC3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A867-47D8-9DF6-B4BE0A88D42E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A867-47D8-9DF6-B4BE0A88D42E}"/>
              </c:ext>
            </c:extLst>
          </c:dPt>
          <c:dPt>
            <c:idx val="4"/>
            <c:bubble3D val="0"/>
            <c:spPr>
              <a:solidFill>
                <a:srgbClr val="5B9BD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A867-47D8-9DF6-B4BE0A88D42E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A867-47D8-9DF6-B4BE0A88D42E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A867-47D8-9DF6-B4BE0A88D42E}"/>
              </c:ext>
            </c:extLst>
          </c:dPt>
          <c:dPt>
            <c:idx val="7"/>
            <c:bubble3D val="0"/>
            <c:spPr>
              <a:solidFill>
                <a:srgbClr val="9E48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8-A867-47D8-9DF6-B4BE0A88D42E}"/>
              </c:ext>
            </c:extLst>
          </c:dPt>
          <c:dPt>
            <c:idx val="8"/>
            <c:bubble3D val="0"/>
            <c:spPr>
              <a:solidFill>
                <a:srgbClr val="63636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A867-47D8-9DF6-B4BE0A88D4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de-DE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9"/>
              <c:pt idx="0">
                <c:v>2 Bildung</c:v>
              </c:pt>
              <c:pt idx="1">
                <c:v>5 Soziale Sicherheit</c:v>
              </c:pt>
              <c:pt idx="2">
                <c:v>4 Gesundheit</c:v>
              </c:pt>
              <c:pt idx="3">
                <c:v>6 Verkehr</c:v>
              </c:pt>
              <c:pt idx="4">
                <c:v>0 Allgemeine Verwaltung</c:v>
              </c:pt>
              <c:pt idx="5">
                <c:v>7 Umwelt und Raumordnung</c:v>
              </c:pt>
              <c:pt idx="6">
                <c:v>3 Kultur, Sport und Freizeit</c:v>
              </c:pt>
              <c:pt idx="7">
                <c:v>1 Öffentliche Ordnung und Sicherheit, Verteidigung</c:v>
              </c:pt>
              <c:pt idx="8">
                <c:v>8 Volkswirtschaft</c:v>
              </c:pt>
            </c:strLit>
          </c:cat>
          <c:val>
            <c:numLit>
              <c:formatCode>General</c:formatCode>
              <c:ptCount val="9"/>
              <c:pt idx="0">
                <c:v>5770000</c:v>
              </c:pt>
              <c:pt idx="1">
                <c:v>2607700</c:v>
              </c:pt>
              <c:pt idx="2">
                <c:v>949050</c:v>
              </c:pt>
              <c:pt idx="3">
                <c:v>1449940</c:v>
              </c:pt>
              <c:pt idx="4">
                <c:v>1322270</c:v>
              </c:pt>
              <c:pt idx="5">
                <c:v>342545</c:v>
              </c:pt>
              <c:pt idx="6">
                <c:v>278455</c:v>
              </c:pt>
              <c:pt idx="7">
                <c:v>273160</c:v>
              </c:pt>
              <c:pt idx="8">
                <c:v>96025</c:v>
              </c:pt>
            </c:numLit>
          </c:val>
          <c:extLst>
            <c:ext xmlns:c16="http://schemas.microsoft.com/office/drawing/2014/chart" uri="{C3380CC4-5D6E-409C-BE32-E72D297353CC}">
              <c16:uniqueId val="{00000000-A867-47D8-9DF6-B4BE0A88D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"/>
          <c:y val="0.22033752477368904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de-DE" sz="900" b="1" i="0" u="none" strike="noStrike" kern="1200" baseline="0">
              <a:solidFill>
                <a:srgbClr val="595959"/>
              </a:solidFill>
              <a:latin typeface="Calibri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de-DE" sz="900" b="0" i="0" u="none" strike="noStrike" kern="1200" baseline="0">
          <a:solidFill>
            <a:srgbClr val="000000"/>
          </a:solidFill>
          <a:latin typeface="Calibri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de-DE" sz="1400" b="1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de-DE" sz="1400" b="1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Beeinflussbare und nicht beeinflussbare Kosten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1.1022927689594356E-2"/>
          <c:y val="0.11067391094501978"/>
          <c:w val="0.86119582274437911"/>
          <c:h val="0.70368658383551441"/>
        </c:manualLayout>
      </c:layout>
      <c:barChart>
        <c:barDir val="col"/>
        <c:grouping val="stacked"/>
        <c:varyColors val="0"/>
        <c:ser>
          <c:idx val="0"/>
          <c:order val="0"/>
          <c:tx>
            <c:v>Nicht oder kaum beeinflussbare Bereiche Bildung, Gesundheit und Soziale Sicherheit</c:v>
          </c:tx>
          <c:spPr>
            <a:solidFill>
              <a:srgbClr val="FF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E2DF-4918-8627-EAB47EC558EB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E2DF-4918-8627-EAB47EC558EB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E2DF-4918-8627-EAB47EC558EB}"/>
              </c:ext>
            </c:extLst>
          </c:dPt>
          <c:dLbls>
            <c:dLbl>
              <c:idx val="0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lang="de-DE" sz="900" b="1" i="0" u="none" strike="noStrike" kern="1200" baseline="0">
                        <a:solidFill>
                          <a:srgbClr val="404040"/>
                        </a:solidFill>
                        <a:latin typeface="Calibri"/>
                      </a:defRPr>
                    </a:pP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9'326'750</a:t>
                    </a: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71 %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E2DF-4918-8627-EAB47EC558EB}"/>
                </c:ext>
              </c:extLst>
            </c:dLbl>
            <c:dLbl>
              <c:idx val="1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lang="de-DE" sz="900" b="1" i="0" u="none" strike="noStrike" kern="1200" baseline="0">
                        <a:solidFill>
                          <a:srgbClr val="404040"/>
                        </a:solidFill>
                        <a:latin typeface="Calibri"/>
                      </a:defRPr>
                    </a:pP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8'913'650</a:t>
                    </a: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69 %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2-E2DF-4918-8627-EAB47EC558EB}"/>
                </c:ext>
              </c:extLst>
            </c:dLbl>
            <c:dLbl>
              <c:idx val="2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lang="de-DE" sz="900" b="1" i="0" u="none" strike="noStrike" kern="1200" baseline="0">
                        <a:solidFill>
                          <a:srgbClr val="404040"/>
                        </a:solidFill>
                        <a:latin typeface="Calibri"/>
                      </a:defRPr>
                    </a:pP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8'498'055</a:t>
                    </a: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74 %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3-E2DF-4918-8627-EAB47EC558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de-DE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Lit>
              <c:ptCount val="3"/>
              <c:pt idx="0">
                <c:v>Budget 2025</c:v>
              </c:pt>
              <c:pt idx="1">
                <c:v>Budget 2024</c:v>
              </c:pt>
              <c:pt idx="2">
                <c:v>Ist 2023</c:v>
              </c:pt>
            </c:strLit>
          </c:cat>
          <c:val>
            <c:numLit>
              <c:formatCode>General</c:formatCode>
              <c:ptCount val="3"/>
              <c:pt idx="0">
                <c:v>9326750</c:v>
              </c:pt>
              <c:pt idx="1">
                <c:v>8913650</c:v>
              </c:pt>
              <c:pt idx="2">
                <c:v>8498054.5599999987</c:v>
              </c:pt>
            </c:numLit>
          </c:val>
          <c:extLst>
            <c:ext xmlns:c16="http://schemas.microsoft.com/office/drawing/2014/chart" uri="{C3380CC4-5D6E-409C-BE32-E72D297353CC}">
              <c16:uniqueId val="{00000000-E2DF-4918-8627-EAB47EC558EB}"/>
            </c:ext>
          </c:extLst>
        </c:ser>
        <c:ser>
          <c:idx val="1"/>
          <c:order val="1"/>
          <c:tx>
            <c:v>Mehrheitlich beeinflussbare Bereiche (Allgemeine Verwaltung, Öffentliche Ordnung und Sicherheit, Verteidigung. Kultur, Sport und Freizeit, Verkehr, Umwelt und Raumordnung und Volkswirtschaft)</c:v>
          </c:tx>
          <c:spPr>
            <a:solidFill>
              <a:srgbClr val="FFC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E2DF-4918-8627-EAB47EC558E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E2DF-4918-8627-EAB47EC558E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2DF-4918-8627-EAB47EC558EB}"/>
              </c:ext>
            </c:extLst>
          </c:dPt>
          <c:dLbls>
            <c:dLbl>
              <c:idx val="0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lang="de-DE" sz="900" b="1" i="0" u="none" strike="noStrike" kern="1200" baseline="0">
                        <a:solidFill>
                          <a:srgbClr val="404040"/>
                        </a:solidFill>
                        <a:latin typeface="Calibri"/>
                      </a:defRPr>
                    </a:pP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3'762'395</a:t>
                    </a: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29 %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E2DF-4918-8627-EAB47EC558EB}"/>
                </c:ext>
              </c:extLst>
            </c:dLbl>
            <c:dLbl>
              <c:idx val="1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lang="de-DE" sz="900" b="1" i="0" u="none" strike="noStrike" kern="1200" baseline="0">
                        <a:solidFill>
                          <a:srgbClr val="404040"/>
                        </a:solidFill>
                        <a:latin typeface="Calibri"/>
                      </a:defRPr>
                    </a:pP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3'999'065</a:t>
                    </a: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31 %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E2DF-4918-8627-EAB47EC558EB}"/>
                </c:ext>
              </c:extLst>
            </c:dLbl>
            <c:dLbl>
              <c:idx val="2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lang="de-DE" sz="900" b="1" i="0" u="none" strike="noStrike" kern="1200" baseline="0">
                        <a:solidFill>
                          <a:srgbClr val="404040"/>
                        </a:solidFill>
                        <a:latin typeface="Calibri"/>
                      </a:defRPr>
                    </a:pP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2'918'658</a:t>
                    </a: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b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</a:br>
                    <a:r>
                      <a:rPr lang="en-US" sz="900" b="1" i="0" u="none" strike="noStrike" kern="1200" cap="none" spc="0" baseline="0">
                        <a:solidFill>
                          <a:srgbClr val="404040"/>
                        </a:solidFill>
                        <a:uFillTx/>
                        <a:latin typeface="Calibri"/>
                      </a:rPr>
                      <a:t>26 %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E2DF-4918-8627-EAB47EC558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de-DE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Lit>
              <c:ptCount val="3"/>
              <c:pt idx="0">
                <c:v>Budget 2025</c:v>
              </c:pt>
              <c:pt idx="1">
                <c:v>Budget 2024</c:v>
              </c:pt>
              <c:pt idx="2">
                <c:v>Ist 2023</c:v>
              </c:pt>
            </c:strLit>
          </c:cat>
          <c:val>
            <c:numLit>
              <c:formatCode>General</c:formatCode>
              <c:ptCount val="3"/>
              <c:pt idx="0">
                <c:v>3762395</c:v>
              </c:pt>
              <c:pt idx="1">
                <c:v>3999065</c:v>
              </c:pt>
              <c:pt idx="2">
                <c:v>2918658.4099999997</c:v>
              </c:pt>
            </c:numLit>
          </c:val>
          <c:extLst>
            <c:ext xmlns:c16="http://schemas.microsoft.com/office/drawing/2014/chart" uri="{C3380CC4-5D6E-409C-BE32-E72D297353CC}">
              <c16:uniqueId val="{00000004-E2DF-4918-8627-EAB47EC55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46313040"/>
        <c:axId val="1446286160"/>
      </c:barChart>
      <c:valAx>
        <c:axId val="1446286160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#&quot;,&quot;##0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de-DE" sz="900" b="1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de-DE"/>
          </a:p>
        </c:txPr>
        <c:crossAx val="1446313040"/>
        <c:crosses val="autoZero"/>
        <c:crossBetween val="between"/>
      </c:valAx>
      <c:catAx>
        <c:axId val="1446313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de-DE" sz="900" b="1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de-DE"/>
          </a:p>
        </c:txPr>
        <c:crossAx val="1446286160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2.044709689066644E-3"/>
          <c:y val="0.81960974668008879"/>
          <c:w val="0.99795529031093333"/>
          <c:h val="0.18039025331991118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de-DE" sz="900" b="1" i="0" u="none" strike="noStrike" kern="1200" baseline="0">
              <a:solidFill>
                <a:srgbClr val="595959"/>
              </a:solidFill>
              <a:latin typeface="Calibri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de-DE" sz="1000" b="0" i="0" u="none" strike="noStrike" kern="1200" baseline="0">
          <a:solidFill>
            <a:srgbClr val="000000"/>
          </a:solidFill>
          <a:latin typeface="Calibri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88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Stutz</dc:creator>
  <dc:description/>
  <cp:lastModifiedBy>Thomas Stutz</cp:lastModifiedBy>
  <cp:revision>2</cp:revision>
  <dcterms:created xsi:type="dcterms:W3CDTF">2024-11-03T10:57:00Z</dcterms:created>
  <dcterms:modified xsi:type="dcterms:W3CDTF">2024-11-03T10:57:00Z</dcterms:modified>
</cp:coreProperties>
</file>